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Täby kommunfullmäktige</w:t>
      </w:r>
    </w:p>
    <w:p>
      <w:pPr>
        <w:pStyle w:val="Heading1"/>
      </w:pPr>
      <w:r>
        <w:t xml:space="preserve">Förbättrad kollektivtrafik och vägnät i Täby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Täby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E18 och lokala vägar har kapacitetsproblem enligt Trafikverket 2024. Kollektivtrafiken behöver stärkas för att minska bilberoende.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Täby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Täby kommunfullmäktige beslutar att påskynda utbyggnaden av Roslagsbanan till dubbelspår.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ska kräva fler busslinjer och turtäthet i avtal med SL.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trafiksäkerhetsåtgärder på E18 prioriteras i samverkan med Trafikverket.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infrastrukturuppföljning redovisas för kommunstyrelsen.</w:t>
      </w:r>
    </w:p>
    <w:p>
      <w:pPr>
        <w:spacing w:before="360"/>
      </w:pPr>
    </w:p>
    <w:p>
      <w:r>
        <w:t xml:space="preserve">Täby,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Täby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2026-06-06T01:48:32.310Z</dcterms:created>
  <dcterms:modified xsi:type="dcterms:W3CDTF">2026-06-06T01:48:32.310Z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